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36"/>
        <w:tblW w:w="9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701"/>
        <w:gridCol w:w="2057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本专业排名（名次/专业人数）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有无违纪记录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本人保证所填信息真实，并保证一旦被录取，将遵守两校相关交换规定，遵纪守法，并将按照学校的要求，认真完成学业，不会中途退出。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</w:rPr>
        <w:t>北京师范大学经管学院境外学习项目申请表</w:t>
      </w:r>
      <w:bookmarkEnd w:id="0"/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学工意见</w:t>
            </w:r>
          </w:p>
        </w:tc>
        <w:tc>
          <w:tcPr>
            <w:tcW w:w="724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247" w:type="dxa"/>
          </w:tcPr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院系负责人签字：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mIwYjM3ZWFlY2ZmNjhkZjMyN2M0MmI2NjJlNjcifQ=="/>
  </w:docVars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  <w:rsid w:val="24767CA3"/>
    <w:rsid w:val="43234650"/>
    <w:rsid w:val="4A4F3FDD"/>
    <w:rsid w:val="777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2022-03-03T07:48:00Z</dcterms:created>
  <dc:creator>Lenovo</dc:creator>
  <cp:lastModifiedBy>赵苡禾</cp:lastModifiedBy>
  <dcterms:modified xsi:type="dcterms:W3CDTF">2024-03-19T08:26:38Z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0CCA3EADA4DF4CCEA668B69BC49AA61F_13</vt:lpwstr>
  </property>
</Properties>
</file>